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319F33C8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11A04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="00B11A04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5A042A0F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CCE77C2" w:rsidR="005239F7" w:rsidRPr="00602AB5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1E3D98B8" w:rsidR="005239F7" w:rsidRPr="00602AB5" w:rsidRDefault="00120B1E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SU 54937 71352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29FFA488" w:rsidR="005239F7" w:rsidRPr="00602AB5" w:rsidRDefault="00120B1E" w:rsidP="005239F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Bucklebury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Equestrian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3C1888CF" w:rsidR="005239F7" w:rsidRPr="00602AB5" w:rsidRDefault="00120B1E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IMPARTS.JOKE.INFLATES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29142171" w14:textId="77777777" w:rsidR="00015F2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  <w:p w14:paraId="1837202B" w14:textId="3EFD5569" w:rsidR="00B11A04" w:rsidRPr="005239F7" w:rsidRDefault="00B11A04" w:rsidP="00015F27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5E2769D6" w14:textId="77777777" w:rsidR="00403A99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  <w:p w14:paraId="72468644" w14:textId="0DE5CBB6" w:rsidR="00B11A04" w:rsidRPr="001C1984" w:rsidRDefault="00B11A04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439249D6" w14:textId="77777777" w:rsidR="00403A99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  <w:p w14:paraId="7F21E39B" w14:textId="66FE9354" w:rsidR="00B11A04" w:rsidRPr="00B11A04" w:rsidRDefault="00B11A04" w:rsidP="00B11A04"/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ED302D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ED302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ED302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ED302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256DB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0B1E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B7EDB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3EB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1A04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D302D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16</TotalTime>
  <Pages>6</Pages>
  <Words>2153</Words>
  <Characters>12278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4</cp:revision>
  <cp:lastPrinted>2023-07-20T21:48:00Z</cp:lastPrinted>
  <dcterms:created xsi:type="dcterms:W3CDTF">2023-07-20T21:48:00Z</dcterms:created>
  <dcterms:modified xsi:type="dcterms:W3CDTF">2023-10-24T09:34:00Z</dcterms:modified>
</cp:coreProperties>
</file>