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5E72" w14:textId="77777777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 GUIDE TO AREA COMPETITIONS &amp; TEAM TRAINING</w:t>
      </w:r>
    </w:p>
    <w:p w14:paraId="287B005A" w14:textId="4C4E8B65" w:rsidR="000874A7" w:rsidRPr="000874A7" w:rsidRDefault="000874A7" w:rsidP="000874A7">
      <w:pPr>
        <w:shd w:val="clear" w:color="auto" w:fill="FFFFFF"/>
        <w:spacing w:after="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hyperlink r:id="rId4" w:tgtFrame="_blank" w:tooltip="https://branches.pcuk.org/royalartillery/wp-content/uploads/sites/495/2025/02/SELECTION-POLICY-V1.pdf" w:history="1">
        <w:r w:rsidRPr="000874A7">
          <w:rPr>
            <w:rFonts w:ascii="Montserrat" w:eastAsia="Times New Roman" w:hAnsi="Montserrat" w:cs="Segoe UI"/>
            <w:b/>
            <w:bCs/>
            <w:color w:val="DD3333"/>
            <w:sz w:val="30"/>
            <w:szCs w:val="30"/>
            <w:u w:val="single"/>
            <w:bdr w:val="none" w:sz="0" w:space="0" w:color="auto" w:frame="1"/>
            <w:lang w:eastAsia="en-GB"/>
          </w:rPr>
          <w:t xml:space="preserve">SELECTION POLICY </w:t>
        </w:r>
      </w:hyperlink>
      <w:r w:rsidRPr="000874A7">
        <w:rPr>
          <w:rFonts w:ascii="Montserrat" w:eastAsia="Times New Roman" w:hAnsi="Montserrat" w:cs="Segoe UI"/>
          <w:b/>
          <w:bCs/>
          <w:color w:val="DD3333"/>
          <w:sz w:val="30"/>
          <w:szCs w:val="30"/>
          <w:bdr w:val="none" w:sz="0" w:space="0" w:color="auto" w:frame="1"/>
          <w:lang w:eastAsia="en-GB"/>
        </w:rPr>
        <w:t> – PLEASE READ</w:t>
      </w:r>
    </w:p>
    <w:p w14:paraId="11C9345F" w14:textId="77777777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Areas and Championships:</w:t>
      </w:r>
    </w:p>
    <w:p w14:paraId="6EEAD269" w14:textId="431C4076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Every Pony Club branch is part of a larger regional grouping, and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your Branch/Centre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is part of Area 14.</w:t>
      </w:r>
    </w:p>
    <w:p w14:paraId="4197054C" w14:textId="4CEB2C1E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There are Area competitions which take place from June to July with three levels of Championships taking place in August. National, Regional and Mini Championships.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In order to be able to take part in an </w:t>
      </w:r>
      <w:proofErr w:type="gramStart"/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Area</w:t>
      </w:r>
      <w:proofErr w:type="gramEnd"/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competition at whatever level you must have your DCs permission to enter and you must fulfil your Branch team selection policy.  All Branches in Area 14 adhere to a </w:t>
      </w:r>
      <w:proofErr w:type="gramStart"/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three rally</w:t>
      </w:r>
      <w:proofErr w:type="gramEnd"/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rule as part to their selection criteria.  </w:t>
      </w:r>
    </w:p>
    <w:p w14:paraId="59B317E3" w14:textId="681E082F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The Regional and National levels are competitions in Dressage, Show Jumping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, Tetrathlon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and Eventing.</w:t>
      </w:r>
    </w:p>
    <w:p w14:paraId="46A85327" w14:textId="26D98678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Regional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at Bicton at the end of August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is geared towards the more novice members and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is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a perfect stepping stone for anyone looking to compete at The Pony Club National Championships at </w:t>
      </w:r>
      <w:proofErr w:type="spellStart"/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Offchurch</w:t>
      </w:r>
      <w:proofErr w:type="spellEnd"/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Bury, Warwickshire in the future.</w:t>
      </w:r>
    </w:p>
    <w:p w14:paraId="428AEA64" w14:textId="77777777" w:rsidR="000874A7" w:rsidRPr="000874A7" w:rsidRDefault="000874A7" w:rsidP="000874A7">
      <w:pPr>
        <w:shd w:val="clear" w:color="auto" w:fill="FFFFFF"/>
        <w:spacing w:after="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inherit" w:eastAsia="Times New Roman" w:hAnsi="inherit" w:cs="Segoe UI"/>
          <w:b/>
          <w:bCs/>
          <w:i/>
          <w:iCs/>
          <w:color w:val="002169"/>
          <w:sz w:val="30"/>
          <w:szCs w:val="30"/>
          <w:bdr w:val="none" w:sz="0" w:space="0" w:color="auto" w:frame="1"/>
          <w:lang w:eastAsia="en-GB"/>
        </w:rPr>
        <w:t>In addition to the Area Team competitions…</w:t>
      </w:r>
    </w:p>
    <w:p w14:paraId="664ED565" w14:textId="50756AA7" w:rsidR="000874A7" w:rsidRPr="000874A7" w:rsidRDefault="000874A7" w:rsidP="000874A7">
      <w:pPr>
        <w:shd w:val="clear" w:color="auto" w:fill="FFFFFF"/>
        <w:spacing w:after="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inherit" w:eastAsia="Times New Roman" w:hAnsi="inherit" w:cs="Segoe UI"/>
          <w:b/>
          <w:bCs/>
          <w:color w:val="002169"/>
          <w:sz w:val="30"/>
          <w:szCs w:val="30"/>
          <w:bdr w:val="none" w:sz="0" w:space="0" w:color="auto" w:frame="1"/>
          <w:lang w:eastAsia="en-GB"/>
        </w:rPr>
        <w:t>Interbranch competitions are great fun,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 and a brilliant way to learn about good team play. You can enter as an individual or you can join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Branch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teams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.</w:t>
      </w:r>
    </w:p>
    <w:p w14:paraId="240274F1" w14:textId="77777777" w:rsidR="000874A7" w:rsidRPr="000874A7" w:rsidRDefault="000874A7" w:rsidP="000874A7">
      <w:pPr>
        <w:shd w:val="clear" w:color="auto" w:fill="FFFFFF"/>
        <w:spacing w:line="240" w:lineRule="auto"/>
        <w:textAlignment w:val="baseline"/>
        <w:rPr>
          <w:rFonts w:ascii="Montserrat" w:eastAsia="Times New Roman" w:hAnsi="Montserrat" w:cs="Segoe UI"/>
          <w:color w:val="002169"/>
          <w:sz w:val="24"/>
          <w:szCs w:val="24"/>
          <w:lang w:eastAsia="en-GB"/>
        </w:rPr>
      </w:pPr>
      <w:r w:rsidRPr="000874A7">
        <w:rPr>
          <w:rFonts w:ascii="Montserrat" w:eastAsia="Times New Roman" w:hAnsi="Montserrat" w:cs="Segoe UI"/>
          <w:color w:val="002169"/>
          <w:sz w:val="24"/>
          <w:szCs w:val="24"/>
          <w:lang w:eastAsia="en-GB"/>
        </w:rPr>
        <w:t> </w:t>
      </w:r>
    </w:p>
    <w:p w14:paraId="0D4CF627" w14:textId="77777777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Training Squad:</w:t>
      </w:r>
    </w:p>
    <w:p w14:paraId="5C8BFD46" w14:textId="16C064C3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Some Branches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run a training squad for members who are invited to training sessions during spring and early summer.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Branches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are looking for commitment (being a loyal and active member of the branch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)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and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members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lastRenderedPageBreak/>
        <w:t xml:space="preserve">are expected to do 3 rallies –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this is a rule throughout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Area 14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, together with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performance at rallies, during training sessions and in competitions.</w:t>
      </w:r>
    </w:p>
    <w:p w14:paraId="01804EBC" w14:textId="0B0D2FB5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As an Area w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e give 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our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members 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training,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experience 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and knowledge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and 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we aim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to send 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as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many competitors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from the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Area competitions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to the Championships 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as possible … however, we will not send anyone we do not feel is comfortable to compete at the level, so selection is n</w:t>
      </w:r>
      <w:r w:rsidR="006B33B4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ever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guaranteed. This may mean a member is disappointed, it is almost inevitable, but that is all part of the learning curve which we hope will encourage future commitment and performance.</w:t>
      </w:r>
    </w:p>
    <w:p w14:paraId="32592FC8" w14:textId="0384219C" w:rsidR="000874A7" w:rsidRPr="000874A7" w:rsidRDefault="000874A7" w:rsidP="000874A7">
      <w:pPr>
        <w:shd w:val="clear" w:color="auto" w:fill="FFFFFF"/>
        <w:spacing w:after="100" w:afterAutospacing="1" w:line="240" w:lineRule="auto"/>
        <w:textAlignment w:val="baseline"/>
        <w:outlineLvl w:val="4"/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</w:pP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Team selection will be made in consultation with 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y</w:t>
      </w:r>
      <w:r w:rsidRPr="000874A7"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>our DC, trainers &amp; coaches.</w:t>
      </w:r>
      <w:r>
        <w:rPr>
          <w:rFonts w:ascii="Montserrat" w:eastAsia="Times New Roman" w:hAnsi="Montserrat" w:cs="Segoe UI"/>
          <w:b/>
          <w:bCs/>
          <w:color w:val="002169"/>
          <w:sz w:val="30"/>
          <w:szCs w:val="30"/>
          <w:lang w:eastAsia="en-GB"/>
        </w:rPr>
        <w:t xml:space="preserve">  </w:t>
      </w:r>
    </w:p>
    <w:p w14:paraId="75E8E1BE" w14:textId="77777777" w:rsidR="000A7E7A" w:rsidRDefault="000A7E7A"/>
    <w:sectPr w:rsidR="000A7E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A7"/>
    <w:rsid w:val="000874A7"/>
    <w:rsid w:val="000A7E7A"/>
    <w:rsid w:val="006A3A06"/>
    <w:rsid w:val="006B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E46B8"/>
  <w15:chartTrackingRefBased/>
  <w15:docId w15:val="{41CDC3CF-392E-492F-AE50-B0CAE52B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4A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4A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4A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4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4A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4A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4A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4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4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4A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4A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4A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4A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1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88512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ches.pcuk.org/royalartillery/wp-content/uploads/sites/495/2025/02/SELECTION-POLICY-V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Thornycroft</dc:creator>
  <cp:keywords/>
  <dc:description/>
  <cp:lastModifiedBy>Louisa Thornycroft</cp:lastModifiedBy>
  <cp:revision>2</cp:revision>
  <dcterms:created xsi:type="dcterms:W3CDTF">2026-03-05T18:35:00Z</dcterms:created>
  <dcterms:modified xsi:type="dcterms:W3CDTF">2026-03-05T18:50:00Z</dcterms:modified>
</cp:coreProperties>
</file>